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162" w:rsidRPr="00053162" w:rsidRDefault="00053162" w:rsidP="00E32E2D">
      <w:pPr>
        <w:spacing w:after="0"/>
        <w:rPr>
          <w:rFonts w:ascii="Times New Roman" w:hAnsi="Times New Roman" w:cs="Times New Roman"/>
          <w:b/>
          <w:color w:val="000000"/>
          <w:sz w:val="28"/>
          <w:szCs w:val="28"/>
        </w:rPr>
      </w:pPr>
      <w:r w:rsidRPr="00053162">
        <w:rPr>
          <w:rFonts w:ascii="Times New Roman" w:hAnsi="Times New Roman" w:cs="Times New Roman"/>
          <w:b/>
          <w:color w:val="000000"/>
          <w:sz w:val="28"/>
          <w:szCs w:val="28"/>
        </w:rPr>
        <w:t>ỦY BAN NHÂN DÂN           CỘNG HÒA XÃ HỘI CHỦ NGHĨA VIỆT NAM</w:t>
      </w:r>
    </w:p>
    <w:p w:rsidR="00053162" w:rsidRPr="00053162" w:rsidRDefault="00053162" w:rsidP="00E32E2D">
      <w:pPr>
        <w:spacing w:after="0"/>
        <w:rPr>
          <w:rFonts w:ascii="Times New Roman" w:hAnsi="Times New Roman" w:cs="Times New Roman"/>
          <w:b/>
          <w:color w:val="000000"/>
          <w:sz w:val="28"/>
          <w:szCs w:val="28"/>
        </w:rPr>
      </w:pPr>
      <w:r w:rsidRPr="00053162">
        <w:rPr>
          <w:rFonts w:ascii="Times New Roman"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14:anchorId="2299F8DB" wp14:editId="07ECB098">
                <wp:simplePos x="0" y="0"/>
                <wp:positionH relativeFrom="column">
                  <wp:posOffset>300990</wp:posOffset>
                </wp:positionH>
                <wp:positionV relativeFrom="paragraph">
                  <wp:posOffset>220980</wp:posOffset>
                </wp:positionV>
                <wp:extent cx="10096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3.7pt;margin-top:17.4pt;width: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Dd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E3n0w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"/>
            </w:pict>
          </mc:Fallback>
        </mc:AlternateContent>
      </w:r>
      <w:r w:rsidRPr="00053162">
        <w:rPr>
          <w:rFonts w:ascii="Times New Roman" w:hAnsi="Times New Roman" w:cs="Times New Roman"/>
          <w:b/>
          <w:color w:val="000000"/>
          <w:sz w:val="28"/>
          <w:szCs w:val="28"/>
        </w:rPr>
        <w:t xml:space="preserve">  XÃ QUANG VĨNH                                  Độc lập- Tự do- Hạnh phúc</w:t>
      </w:r>
    </w:p>
    <w:p w:rsidR="00053162" w:rsidRPr="00053162" w:rsidRDefault="00053162" w:rsidP="00E32E2D">
      <w:pPr>
        <w:ind w:left="-420"/>
        <w:jc w:val="center"/>
        <w:rPr>
          <w:rFonts w:ascii="Times New Roman" w:hAnsi="Times New Roman" w:cs="Times New Roman"/>
          <w:b/>
          <w:color w:val="000000"/>
          <w:sz w:val="28"/>
          <w:szCs w:val="28"/>
        </w:rPr>
      </w:pPr>
      <w:r w:rsidRPr="00053162">
        <w:rPr>
          <w:rFonts w:ascii="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1E3F7231" wp14:editId="030C7368">
                <wp:simplePos x="0" y="0"/>
                <wp:positionH relativeFrom="column">
                  <wp:posOffset>3225165</wp:posOffset>
                </wp:positionH>
                <wp:positionV relativeFrom="paragraph">
                  <wp:posOffset>33020</wp:posOffset>
                </wp:positionV>
                <wp:extent cx="14859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53.95pt;margin-top:2.6pt;width:1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oz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"/>
            </w:pict>
          </mc:Fallback>
        </mc:AlternateContent>
      </w:r>
    </w:p>
    <w:p w:rsidR="00053162" w:rsidRPr="00053162" w:rsidRDefault="00053162" w:rsidP="00E32E2D">
      <w:pPr>
        <w:spacing w:after="0"/>
        <w:ind w:left="-420"/>
        <w:jc w:val="center"/>
        <w:rPr>
          <w:rFonts w:ascii="Times New Roman" w:hAnsi="Times New Roman" w:cs="Times New Roman"/>
          <w:b/>
          <w:color w:val="000000"/>
          <w:sz w:val="28"/>
          <w:szCs w:val="28"/>
        </w:rPr>
      </w:pPr>
      <w:r w:rsidRPr="00053162">
        <w:rPr>
          <w:rFonts w:ascii="Times New Roman" w:hAnsi="Times New Roman" w:cs="Times New Roman"/>
          <w:b/>
          <w:color w:val="000000"/>
          <w:sz w:val="28"/>
          <w:szCs w:val="28"/>
        </w:rPr>
        <w:t>HỘI ĐỒNG PHỐI HỢP PHỔ BIẾN GIÁO DỤC PHÁP LUẬT</w:t>
      </w:r>
    </w:p>
    <w:p w:rsidR="00053162" w:rsidRPr="00053162" w:rsidRDefault="00053162" w:rsidP="00E32E2D">
      <w:pPr>
        <w:spacing w:after="0"/>
        <w:ind w:left="-420"/>
        <w:jc w:val="center"/>
        <w:rPr>
          <w:rFonts w:ascii="Times New Roman" w:hAnsi="Times New Roman" w:cs="Times New Roman"/>
          <w:b/>
          <w:color w:val="000000"/>
          <w:sz w:val="28"/>
          <w:szCs w:val="28"/>
        </w:rPr>
      </w:pPr>
      <w:r w:rsidRPr="00053162">
        <w:rPr>
          <w:rFonts w:ascii="Times New Roman" w:hAnsi="Times New Roman" w:cs="Times New Roman"/>
          <w:b/>
          <w:color w:val="000000"/>
          <w:sz w:val="28"/>
          <w:szCs w:val="28"/>
        </w:rPr>
        <w:t>XÃ QUANG VĨNH</w:t>
      </w:r>
    </w:p>
    <w:p w:rsidR="00FC7E5F" w:rsidRPr="00053162" w:rsidRDefault="00FC7E5F" w:rsidP="00E32E2D">
      <w:pPr>
        <w:shd w:val="clear" w:color="auto" w:fill="FFFFFF"/>
        <w:spacing w:after="0" w:line="765" w:lineRule="atLeast"/>
        <w:ind w:firstLine="720"/>
        <w:jc w:val="both"/>
        <w:outlineLvl w:val="0"/>
        <w:rPr>
          <w:rFonts w:ascii="Merriweather" w:eastAsia="Times New Roman" w:hAnsi="Merriweather" w:cs="Times New Roman"/>
          <w:b/>
          <w:bCs/>
          <w:color w:val="1B1D2D"/>
          <w:kern w:val="36"/>
          <w:sz w:val="28"/>
          <w:szCs w:val="28"/>
        </w:rPr>
      </w:pPr>
      <w:r w:rsidRPr="00053162">
        <w:rPr>
          <w:rFonts w:ascii="Merriweather" w:eastAsia="Times New Roman" w:hAnsi="Merriweather" w:cs="Times New Roman"/>
          <w:b/>
          <w:bCs/>
          <w:color w:val="1B1D2D"/>
          <w:kern w:val="36"/>
          <w:sz w:val="28"/>
          <w:szCs w:val="28"/>
        </w:rPr>
        <w:t>Chính sách mới có hiệu lực từ tháng 4/2024</w:t>
      </w:r>
    </w:p>
    <w:p w:rsidR="00FC7E5F" w:rsidRPr="00053162" w:rsidRDefault="00FC7E5F" w:rsidP="00E32E2D">
      <w:pPr>
        <w:shd w:val="clear" w:color="auto" w:fill="FFFFFF"/>
        <w:spacing w:after="0" w:line="345" w:lineRule="atLeast"/>
        <w:ind w:firstLine="720"/>
        <w:jc w:val="both"/>
        <w:outlineLvl w:val="1"/>
        <w:rPr>
          <w:rFonts w:ascii="Inter" w:eastAsia="Times New Roman" w:hAnsi="Inter" w:cs="Times New Roman"/>
          <w:color w:val="555555"/>
          <w:sz w:val="28"/>
          <w:szCs w:val="28"/>
        </w:rPr>
      </w:pPr>
      <w:r w:rsidRPr="00053162">
        <w:rPr>
          <w:rFonts w:ascii="NotoSerif" w:eastAsia="Times New Roman" w:hAnsi="NotoSerif" w:cs="Times New Roman"/>
          <w:color w:val="333333"/>
          <w:sz w:val="28"/>
          <w:szCs w:val="28"/>
        </w:rPr>
        <w:t>Sửa quy định về thang lương, bảng lương, phụ cấp lương đối với người lao động làm việc trong công ty trách nhiệm hữu hạn một thành viên do Nhà nước nắm giữ 100% vốn điều lệ.</w:t>
      </w:r>
    </w:p>
    <w:p w:rsidR="00FC7E5F" w:rsidRPr="00053162" w:rsidRDefault="00FC7E5F" w:rsidP="00E32E2D">
      <w:pPr>
        <w:shd w:val="clear" w:color="auto" w:fill="FFFFFF"/>
        <w:spacing w:after="0" w:line="450" w:lineRule="atLeast"/>
        <w:ind w:firstLine="720"/>
        <w:jc w:val="both"/>
        <w:outlineLvl w:val="2"/>
        <w:rPr>
          <w:rFonts w:ascii="NotoSerif" w:eastAsia="Times New Roman" w:hAnsi="NotoSerif" w:cs="Times New Roman"/>
          <w:b/>
          <w:bCs/>
          <w:color w:val="333333"/>
          <w:sz w:val="28"/>
          <w:szCs w:val="28"/>
        </w:rPr>
      </w:pPr>
      <w:r w:rsidRPr="00053162">
        <w:rPr>
          <w:rFonts w:ascii="NotoSerif" w:eastAsia="Times New Roman" w:hAnsi="NotoSerif" w:cs="Times New Roman"/>
          <w:b/>
          <w:bCs/>
          <w:color w:val="333333"/>
          <w:sz w:val="28"/>
          <w:szCs w:val="28"/>
        </w:rPr>
        <w:t>Điều kiện xét tặng Giải thưởng Hồ Chí Minh và Giải thưởng Nhà nước về khoa học và công nghệ</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proofErr w:type="gramStart"/>
      <w:r w:rsidRPr="00053162">
        <w:rPr>
          <w:rFonts w:ascii="NotoSerif" w:eastAsia="Times New Roman" w:hAnsi="NotoSerif" w:cs="Times New Roman"/>
          <w:color w:val="333333"/>
          <w:sz w:val="28"/>
          <w:szCs w:val="28"/>
        </w:rPr>
        <w:t>Có hiệu lực từ ngày 10/4/2024, Nghị định số 18/2024/NĐ-CP ngày 21/2/2024 của Chính phủ quy định rõ điều kiện xét tặng Giải thưởng Hồ Chí Minh và Giải thưởng Nhà nước về khoa học và công nghệ.</w:t>
      </w:r>
      <w:proofErr w:type="gramEnd"/>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 xml:space="preserve">Theo quy định, đối với tác giả: Trực tiếp sáng tạo, đóng góp vào giá trị khoa học và công nghệ của công trình; không </w:t>
      </w:r>
      <w:proofErr w:type="gramStart"/>
      <w:r w:rsidRPr="00053162">
        <w:rPr>
          <w:rFonts w:ascii="NotoSerif" w:eastAsia="Times New Roman" w:hAnsi="NotoSerif" w:cs="Times New Roman"/>
          <w:color w:val="333333"/>
          <w:sz w:val="28"/>
          <w:szCs w:val="28"/>
        </w:rPr>
        <w:t>vi</w:t>
      </w:r>
      <w:proofErr w:type="gramEnd"/>
      <w:r w:rsidRPr="00053162">
        <w:rPr>
          <w:rFonts w:ascii="NotoSerif" w:eastAsia="Times New Roman" w:hAnsi="NotoSerif" w:cs="Times New Roman"/>
          <w:color w:val="333333"/>
          <w:sz w:val="28"/>
          <w:szCs w:val="28"/>
        </w:rPr>
        <w:t xml:space="preserve"> phạm quy định tại Điều 8 Luật Khoa học và công nghệ và đáp ứng điều kiện sau:</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 Đối với người Việt Nam: Chấp hành tốt chủ trương của Đảng, chính sách, pháp luật của Nhà nước;</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proofErr w:type="gramStart"/>
      <w:r w:rsidRPr="00053162">
        <w:rPr>
          <w:rFonts w:ascii="NotoSerif" w:eastAsia="Times New Roman" w:hAnsi="NotoSerif" w:cs="Times New Roman"/>
          <w:color w:val="333333"/>
          <w:sz w:val="28"/>
          <w:szCs w:val="28"/>
        </w:rPr>
        <w:t>- Đối với người nước ngoài: Tôn trọng độc lập, chủ quyền, thống nhất, toàn vẹn lãnh thổ, pháp luật và phong tục, tập quán tốt đẹp của Việt Nam.</w:t>
      </w:r>
      <w:proofErr w:type="gramEnd"/>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 xml:space="preserve">Đối với công trình: Hồ sơ hợp lệ, được công bố </w:t>
      </w:r>
      <w:proofErr w:type="gramStart"/>
      <w:r w:rsidRPr="00053162">
        <w:rPr>
          <w:rFonts w:ascii="NotoSerif" w:eastAsia="Times New Roman" w:hAnsi="NotoSerif" w:cs="Times New Roman"/>
          <w:color w:val="333333"/>
          <w:sz w:val="28"/>
          <w:szCs w:val="28"/>
        </w:rPr>
        <w:t>theo</w:t>
      </w:r>
      <w:proofErr w:type="gramEnd"/>
      <w:r w:rsidRPr="00053162">
        <w:rPr>
          <w:rFonts w:ascii="NotoSerif" w:eastAsia="Times New Roman" w:hAnsi="NotoSerif" w:cs="Times New Roman"/>
          <w:color w:val="333333"/>
          <w:sz w:val="28"/>
          <w:szCs w:val="28"/>
        </w:rPr>
        <w:t xml:space="preserve"> quy định (trừ các công trình có nội dung liên quan đến bí mật nhà nước), hoặc được ứng dụng tại Việt Nam;</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Thời gian công trình được công bố hoặc ứng dụng trong thực tiễn ít nhất là 03 năm hoặc công trình được ứng dụng đổi mới sáng tạo có hiệu quả ít nhất 01 năm tính đến thời điểm nộp hồ sơ đề nghị xét tặng Giải thưởng Hồ Chí Minh, Giải thưởng Nhà nước về khoa học và công nghệ.</w:t>
      </w:r>
    </w:p>
    <w:p w:rsidR="00FC7E5F" w:rsidRPr="00053162" w:rsidRDefault="00FC7E5F" w:rsidP="00E32E2D">
      <w:pPr>
        <w:shd w:val="clear" w:color="auto" w:fill="FFFFFF"/>
        <w:spacing w:after="0" w:line="450" w:lineRule="atLeast"/>
        <w:ind w:firstLine="720"/>
        <w:jc w:val="both"/>
        <w:outlineLvl w:val="2"/>
        <w:rPr>
          <w:rFonts w:ascii="NotoSerif" w:eastAsia="Times New Roman" w:hAnsi="NotoSerif" w:cs="Times New Roman"/>
          <w:b/>
          <w:bCs/>
          <w:color w:val="333333"/>
          <w:sz w:val="28"/>
          <w:szCs w:val="28"/>
        </w:rPr>
      </w:pPr>
      <w:r w:rsidRPr="00053162">
        <w:rPr>
          <w:rFonts w:ascii="NotoSerif" w:eastAsia="Times New Roman" w:hAnsi="NotoSerif" w:cs="Times New Roman"/>
          <w:b/>
          <w:bCs/>
          <w:color w:val="333333"/>
          <w:sz w:val="28"/>
          <w:szCs w:val="28"/>
        </w:rPr>
        <w:lastRenderedPageBreak/>
        <w:t>Sửa quy định cơ quan đăng ký phương tiện phục vụ vui chơi giải trí dưới nước</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Có hiệu lực từ 10/4/2024, Nghị định 19/2024/NĐ-CP sửa đổi, bổ sung một số điều của Nghị định số 48/2019/NĐ-CP ngày 05/6/2019 của Chính phủ quy định về quản lý hoạt động của phương tiện phục vụ vui chơi, giải trí dưới nước.</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Trong đó, Nghị định sửa đổi, bổ sung Điều 19 cơ quan đăng ký phương tiện.</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Cụ thể, Ủy ban nhân dân cấp huyện (quy định cũ UBND cấp tỉnh) tổ chức thực hiện, quản lý việc đăng ký, quản lý phương tiện phục vụ vui chơi, giải trí dưới nước thuộc diện phải đăng ký theo quy định tại Nghị định này và các quy định khác có liên quan của pháp luật.</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Ủy ban nhân dân cấp xã thực hiện quản lý phương tiện phục vụ vui chơi, giải trí dưới nước được miễn đăng ký.</w:t>
      </w:r>
    </w:p>
    <w:p w:rsidR="00FC7E5F" w:rsidRPr="00053162" w:rsidRDefault="00FC7E5F" w:rsidP="00E32E2D">
      <w:pPr>
        <w:shd w:val="clear" w:color="auto" w:fill="FFFFFF"/>
        <w:spacing w:after="0" w:line="450" w:lineRule="atLeast"/>
        <w:ind w:firstLine="720"/>
        <w:jc w:val="both"/>
        <w:outlineLvl w:val="2"/>
        <w:rPr>
          <w:rFonts w:ascii="NotoSerif" w:eastAsia="Times New Roman" w:hAnsi="NotoSerif" w:cs="Times New Roman"/>
          <w:b/>
          <w:bCs/>
          <w:color w:val="333333"/>
          <w:sz w:val="28"/>
          <w:szCs w:val="28"/>
        </w:rPr>
      </w:pPr>
      <w:r w:rsidRPr="00053162">
        <w:rPr>
          <w:rFonts w:ascii="NotoSerif" w:eastAsia="Times New Roman" w:hAnsi="NotoSerif" w:cs="Times New Roman"/>
          <w:b/>
          <w:bCs/>
          <w:color w:val="333333"/>
          <w:sz w:val="28"/>
          <w:szCs w:val="28"/>
        </w:rPr>
        <w:t xml:space="preserve">Sửa quy định về thang lương, bảng lương, phụ cấp lương đối với người </w:t>
      </w:r>
      <w:proofErr w:type="gramStart"/>
      <w:r w:rsidRPr="00053162">
        <w:rPr>
          <w:rFonts w:ascii="NotoSerif" w:eastAsia="Times New Roman" w:hAnsi="NotoSerif" w:cs="Times New Roman"/>
          <w:b/>
          <w:bCs/>
          <w:color w:val="333333"/>
          <w:sz w:val="28"/>
          <w:szCs w:val="28"/>
        </w:rPr>
        <w:t>lao</w:t>
      </w:r>
      <w:proofErr w:type="gramEnd"/>
      <w:r w:rsidRPr="00053162">
        <w:rPr>
          <w:rFonts w:ascii="NotoSerif" w:eastAsia="Times New Roman" w:hAnsi="NotoSerif" w:cs="Times New Roman"/>
          <w:b/>
          <w:bCs/>
          <w:color w:val="333333"/>
          <w:sz w:val="28"/>
          <w:szCs w:val="28"/>
        </w:rPr>
        <w:t xml:space="preserve"> động trong công ty Nhà nước nắm giữ 100% vốn điều lệ</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Có hiệu lực từ 10/4/2024, Nghị định số 21/2024/NĐ-CP ngày 23/2/2024 sửa đổi, bổ sung một số điều của Nghị định số 51/2016/NĐ-CP ngày 13/6/2016 quy định quản lý lao động, tiền lương và tiền thưởng đối với người lao động làm việc trong công ty trách nhiệm hữu hạn một thành viên do Nhà nước nắm giữ 100% vốn điều lệ và Nghị định số 52/2016/NĐ-CP ngày 13/6/2016 quy định tiền lương, thù lao, tiền thưởng đối với người quản lý công ty trách nhiệm hữu hạn một thành viên do Nhà nước nắm giữ 100% vốn điều lệ.</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 xml:space="preserve">Nghị định số 21/2024/NĐ-CP sửa đổi Điều 4 Nghị định số 51/2016/NĐ-CP về thang lương, bảng lương, phụ cấp lương đối với người </w:t>
      </w:r>
      <w:proofErr w:type="gramStart"/>
      <w:r w:rsidRPr="00053162">
        <w:rPr>
          <w:rFonts w:ascii="NotoSerif" w:eastAsia="Times New Roman" w:hAnsi="NotoSerif" w:cs="Times New Roman"/>
          <w:color w:val="333333"/>
          <w:sz w:val="28"/>
          <w:szCs w:val="28"/>
        </w:rPr>
        <w:t>lao</w:t>
      </w:r>
      <w:proofErr w:type="gramEnd"/>
      <w:r w:rsidRPr="00053162">
        <w:rPr>
          <w:rFonts w:ascii="NotoSerif" w:eastAsia="Times New Roman" w:hAnsi="NotoSerif" w:cs="Times New Roman"/>
          <w:color w:val="333333"/>
          <w:sz w:val="28"/>
          <w:szCs w:val="28"/>
        </w:rPr>
        <w:t xml:space="preserve"> động làm việc trong công ty trách nhiệm hữu hạn một thành viên do Nhà nước nắm giữ 100% vốn điều lệ.</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 xml:space="preserve">Cụ thể, căn cứ vào tổ chức sản xuất, tổ chức lao động, công ty xây dựng và ban hành thang lương, bảng lương, phụ cấp lương làm cơ sở để xếp lương, trả </w:t>
      </w:r>
      <w:r w:rsidRPr="00053162">
        <w:rPr>
          <w:rFonts w:ascii="NotoSerif" w:eastAsia="Times New Roman" w:hAnsi="NotoSerif" w:cs="Times New Roman"/>
          <w:color w:val="333333"/>
          <w:sz w:val="28"/>
          <w:szCs w:val="28"/>
        </w:rPr>
        <w:lastRenderedPageBreak/>
        <w:t>lương và thực hiện các chế độ đối với người lao động theo quy định của pháp luật lao động.</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 xml:space="preserve">Các mức lương trong thang lương, bảng lương, phụ cấp lương do công ty quyết định, nhưng phải bảo đảm quỹ tiền lương tính </w:t>
      </w:r>
      <w:proofErr w:type="gramStart"/>
      <w:r w:rsidRPr="00053162">
        <w:rPr>
          <w:rFonts w:ascii="NotoSerif" w:eastAsia="Times New Roman" w:hAnsi="NotoSerif" w:cs="Times New Roman"/>
          <w:color w:val="333333"/>
          <w:sz w:val="28"/>
          <w:szCs w:val="28"/>
        </w:rPr>
        <w:t>theo</w:t>
      </w:r>
      <w:proofErr w:type="gramEnd"/>
      <w:r w:rsidRPr="00053162">
        <w:rPr>
          <w:rFonts w:ascii="NotoSerif" w:eastAsia="Times New Roman" w:hAnsi="NotoSerif" w:cs="Times New Roman"/>
          <w:color w:val="333333"/>
          <w:sz w:val="28"/>
          <w:szCs w:val="28"/>
        </w:rPr>
        <w:t xml:space="preserve"> các mức lương trong thang lương, bảng lương, phụ cấp lương không được vượt quá quỹ tiền lương kế hoạch của người lao động theo quy định.</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Khi xây dựng hoặc sửa đổi, bổ sung thang lương, bảng lương, phụ cấp lương, công ty phải tham khảo ý kiến của tổ chức đại diện người lao động tại cơ sở, tổ chức đối thoại tại nơi làm việc theo quy định, báo cáo cơ quan đại diện chủ sở hữu cho ý kiến và công khai tại công ty trước khi thực hiện.</w:t>
      </w:r>
    </w:p>
    <w:p w:rsidR="00FC7E5F" w:rsidRPr="00053162" w:rsidRDefault="00FC7E5F" w:rsidP="00E32E2D">
      <w:pPr>
        <w:shd w:val="clear" w:color="auto" w:fill="FFFFFF"/>
        <w:spacing w:after="0" w:line="450" w:lineRule="atLeast"/>
        <w:ind w:firstLine="720"/>
        <w:jc w:val="both"/>
        <w:outlineLvl w:val="1"/>
        <w:rPr>
          <w:rFonts w:ascii="NotoSerif" w:eastAsia="Times New Roman" w:hAnsi="NotoSerif" w:cs="Times New Roman"/>
          <w:b/>
          <w:bCs/>
          <w:color w:val="333333"/>
          <w:sz w:val="28"/>
          <w:szCs w:val="28"/>
        </w:rPr>
      </w:pPr>
      <w:r w:rsidRPr="00053162">
        <w:rPr>
          <w:rFonts w:ascii="NotoSerif" w:eastAsia="Times New Roman" w:hAnsi="NotoSerif" w:cs="Times New Roman"/>
          <w:b/>
          <w:bCs/>
          <w:color w:val="333333"/>
          <w:sz w:val="28"/>
          <w:szCs w:val="28"/>
        </w:rPr>
        <w:t>Thủ tục xét tặng, truy tặng "Huy chương Thanh niên xung phong vẻ vang"</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Có hiệu lực từ 20/4/2024, Nghị định 28/2024/NĐ-CP ngày 6/3/2024 quy định chi tiết trình tự, thủ tục xét tặng, truy tặng "Huy chương Thanh niên xung phong vẻ vang" và việc khen thưởng tổng kết thành tích kháng chiến.</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Nghị định nêu rõ, Thanh niên xung phong hoặc thân nhân của Thanh niên xung phong lập hồ sơ đề nghị theo quy định, nộp trực tiếp hoặc qua đường bưu điện 01 bộ hồ sơ đến Ủy ban nhân dân cấp xã nơi Thanh niên xung phong đăng ký cư trú (đối với trường hợp còn sống) hoặc nơi cư trú trước khi tham gia Thanh niên xung phong (đối với Thanh niên xung phong đã hy sinh, từ trần).</w:t>
      </w:r>
    </w:p>
    <w:p w:rsidR="00FC7E5F" w:rsidRPr="00053162" w:rsidRDefault="00FC7E5F" w:rsidP="00E32E2D">
      <w:pPr>
        <w:shd w:val="clear" w:color="auto" w:fill="FFFFFF"/>
        <w:spacing w:after="0" w:line="450" w:lineRule="atLeast"/>
        <w:ind w:firstLine="720"/>
        <w:jc w:val="both"/>
        <w:outlineLvl w:val="2"/>
        <w:rPr>
          <w:rFonts w:ascii="NotoSerif" w:eastAsia="Times New Roman" w:hAnsi="NotoSerif" w:cs="Times New Roman"/>
          <w:b/>
          <w:bCs/>
          <w:color w:val="333333"/>
          <w:sz w:val="28"/>
          <w:szCs w:val="28"/>
        </w:rPr>
      </w:pPr>
      <w:r w:rsidRPr="00053162">
        <w:rPr>
          <w:rFonts w:ascii="NotoSerif" w:eastAsia="Times New Roman" w:hAnsi="NotoSerif" w:cs="Times New Roman"/>
          <w:b/>
          <w:bCs/>
          <w:color w:val="333333"/>
          <w:sz w:val="28"/>
          <w:szCs w:val="28"/>
        </w:rPr>
        <w:t>Quy định mới về tiêu chuẩn xét tặng danh hiệu "Thầy thuốc nhân dân", "Thầy thuốc ưu tú"</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Có hiệu lực từ 15/4/2024, Nghị định số 25/2024/NĐ-CP ngày 27/02/2024 quy định về xét tặng danh hiệu "Thầy thuốc nhân dân", "Thầy thuốc ưu tú"; trong đó quy định cụ thể đối tượng, nguyên tắc, tiêu chuẩn, hội đồng xét tặng, hồ sơ, trình tự, thủ tục xét tặng danh hiệu "Thầy thuốc nhân dân", "Thầy thuốc ưu tú".</w:t>
      </w:r>
    </w:p>
    <w:p w:rsidR="00FC7E5F" w:rsidRPr="00053162" w:rsidRDefault="00FC7E5F" w:rsidP="00E32E2D">
      <w:pPr>
        <w:shd w:val="clear" w:color="auto" w:fill="FFFFFF"/>
        <w:spacing w:after="0" w:line="450" w:lineRule="atLeast"/>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 xml:space="preserve">Nghị định số 25/2024/NĐ-CP quy định danh hiệu "Thầy thuốc ưu tú" được xét tặng cho cá nhân đạt các tiêu chuẩn quy định tại các điểm a, b và c khoản 3 Điều </w:t>
      </w:r>
      <w:r w:rsidRPr="00053162">
        <w:rPr>
          <w:rFonts w:ascii="NotoSerif" w:eastAsia="Times New Roman" w:hAnsi="NotoSerif" w:cs="Times New Roman"/>
          <w:color w:val="333333"/>
          <w:sz w:val="28"/>
          <w:szCs w:val="28"/>
        </w:rPr>
        <w:lastRenderedPageBreak/>
        <w:t>65 Luật Thi đua, khen thưởng, có tài năng xuất sắc trong nghiên cứu, phát triển khoa học, kỹ thuật, công nghệ về y tế, đạt được một trong các tiêu chuẩn sau:</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 xml:space="preserve">a) Chủ nhiệm ít nhất 02 nhiệm vụ khoa học và công nghệ cấp cơ sở đã được nghiệm </w:t>
      </w:r>
      <w:proofErr w:type="gramStart"/>
      <w:r w:rsidRPr="00053162">
        <w:rPr>
          <w:rFonts w:ascii="NotoSerif" w:eastAsia="Times New Roman" w:hAnsi="NotoSerif" w:cs="Times New Roman"/>
          <w:color w:val="333333"/>
          <w:sz w:val="28"/>
          <w:szCs w:val="28"/>
        </w:rPr>
        <w:t>thu</w:t>
      </w:r>
      <w:proofErr w:type="gramEnd"/>
      <w:r w:rsidRPr="00053162">
        <w:rPr>
          <w:rFonts w:ascii="NotoSerif" w:eastAsia="Times New Roman" w:hAnsi="NotoSerif" w:cs="Times New Roman"/>
          <w:color w:val="333333"/>
          <w:sz w:val="28"/>
          <w:szCs w:val="28"/>
        </w:rPr>
        <w:t>, kết quả đánh giá, xếp loại ở mức đạt trở lên;</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 xml:space="preserve">b) Là thành viên nghiên cứu chính thực hiện ít nhất 02 nhiệm vụ khoa học và công nghệ cấp bộ, tỉnh đã được nghiệm </w:t>
      </w:r>
      <w:proofErr w:type="gramStart"/>
      <w:r w:rsidRPr="00053162">
        <w:rPr>
          <w:rFonts w:ascii="NotoSerif" w:eastAsia="Times New Roman" w:hAnsi="NotoSerif" w:cs="Times New Roman"/>
          <w:color w:val="333333"/>
          <w:sz w:val="28"/>
          <w:szCs w:val="28"/>
        </w:rPr>
        <w:t>thu</w:t>
      </w:r>
      <w:proofErr w:type="gramEnd"/>
      <w:r w:rsidRPr="00053162">
        <w:rPr>
          <w:rFonts w:ascii="NotoSerif" w:eastAsia="Times New Roman" w:hAnsi="NotoSerif" w:cs="Times New Roman"/>
          <w:color w:val="333333"/>
          <w:sz w:val="28"/>
          <w:szCs w:val="28"/>
        </w:rPr>
        <w:t>, kết quả đánh giá, xếp loại ở mức đạt trở lên;</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 xml:space="preserve">c) Là </w:t>
      </w:r>
      <w:proofErr w:type="gramStart"/>
      <w:r w:rsidRPr="00053162">
        <w:rPr>
          <w:rFonts w:ascii="NotoSerif" w:eastAsia="Times New Roman" w:hAnsi="NotoSerif" w:cs="Times New Roman"/>
          <w:color w:val="333333"/>
          <w:sz w:val="28"/>
          <w:szCs w:val="28"/>
        </w:rPr>
        <w:t>thư</w:t>
      </w:r>
      <w:proofErr w:type="gramEnd"/>
      <w:r w:rsidRPr="00053162">
        <w:rPr>
          <w:rFonts w:ascii="NotoSerif" w:eastAsia="Times New Roman" w:hAnsi="NotoSerif" w:cs="Times New Roman"/>
          <w:color w:val="333333"/>
          <w:sz w:val="28"/>
          <w:szCs w:val="28"/>
        </w:rPr>
        <w:t xml:space="preserve"> ký ít nhất 01 nhiệm vụ khoa học và công nghệ cấp bộ, tỉnh đã được nghiệm thu, kết quả đánh giá, xếp loại ở mức đạt trở lên;</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 xml:space="preserve">d) Là thành viên nghiên cứu chính thực hiện ít nhất 01 nhiệm vụ khoa học và công nghệ cấp quốc gia đã được nghiệm </w:t>
      </w:r>
      <w:proofErr w:type="gramStart"/>
      <w:r w:rsidRPr="00053162">
        <w:rPr>
          <w:rFonts w:ascii="NotoSerif" w:eastAsia="Times New Roman" w:hAnsi="NotoSerif" w:cs="Times New Roman"/>
          <w:color w:val="333333"/>
          <w:sz w:val="28"/>
          <w:szCs w:val="28"/>
        </w:rPr>
        <w:t>thu</w:t>
      </w:r>
      <w:proofErr w:type="gramEnd"/>
      <w:r w:rsidRPr="00053162">
        <w:rPr>
          <w:rFonts w:ascii="NotoSerif" w:eastAsia="Times New Roman" w:hAnsi="NotoSerif" w:cs="Times New Roman"/>
          <w:color w:val="333333"/>
          <w:sz w:val="28"/>
          <w:szCs w:val="28"/>
        </w:rPr>
        <w:t>, kết quả đánh giá, xếp loại ở mức đạt trở lên;</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 xml:space="preserve">đ) Là chủ nhiệm ít nhất 01 nhiệm vụ khoa học và công nghệ cấp cơ sở và thành viên nghiên cứu chính thực hiện ít nhất 01 nhiệm vụ khoa học và công nghệ cấp bộ, tỉnh đã được nghiệm </w:t>
      </w:r>
      <w:proofErr w:type="gramStart"/>
      <w:r w:rsidRPr="00053162">
        <w:rPr>
          <w:rFonts w:ascii="NotoSerif" w:eastAsia="Times New Roman" w:hAnsi="NotoSerif" w:cs="Times New Roman"/>
          <w:color w:val="333333"/>
          <w:sz w:val="28"/>
          <w:szCs w:val="28"/>
        </w:rPr>
        <w:t>thu</w:t>
      </w:r>
      <w:proofErr w:type="gramEnd"/>
      <w:r w:rsidRPr="00053162">
        <w:rPr>
          <w:rFonts w:ascii="NotoSerif" w:eastAsia="Times New Roman" w:hAnsi="NotoSerif" w:cs="Times New Roman"/>
          <w:color w:val="333333"/>
          <w:sz w:val="28"/>
          <w:szCs w:val="28"/>
        </w:rPr>
        <w:t>, kết quả đánh giá, xếp loại ở mức đạt trở lên;</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 xml:space="preserve">e) Là tác giả ít nhất 01 sáng kiến được ứng dụng mang lại hiệu quả cao, có phạm </w:t>
      </w:r>
      <w:proofErr w:type="gramStart"/>
      <w:r w:rsidRPr="00053162">
        <w:rPr>
          <w:rFonts w:ascii="NotoSerif" w:eastAsia="Times New Roman" w:hAnsi="NotoSerif" w:cs="Times New Roman"/>
          <w:color w:val="333333"/>
          <w:sz w:val="28"/>
          <w:szCs w:val="28"/>
        </w:rPr>
        <w:t>vi</w:t>
      </w:r>
      <w:proofErr w:type="gramEnd"/>
      <w:r w:rsidRPr="00053162">
        <w:rPr>
          <w:rFonts w:ascii="NotoSerif" w:eastAsia="Times New Roman" w:hAnsi="NotoSerif" w:cs="Times New Roman"/>
          <w:color w:val="333333"/>
          <w:sz w:val="28"/>
          <w:szCs w:val="28"/>
        </w:rPr>
        <w:t xml:space="preserve"> ảnh hưởng rộng rãi được bộ, ban, ngành, tỉnh công nhận.</w:t>
      </w:r>
    </w:p>
    <w:p w:rsidR="00FC7E5F" w:rsidRPr="00053162" w:rsidRDefault="00FC7E5F" w:rsidP="00E32E2D">
      <w:pPr>
        <w:shd w:val="clear" w:color="auto" w:fill="FFFFFF"/>
        <w:spacing w:after="0" w:line="450" w:lineRule="atLeast"/>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Không yêu cầu áp dụng tiêu chuẩn về nhiệm vụ khoa học và công nghệ, sáng kiến đối với cá nhân công tác ở địa bàn biên giới, trên biển, hải đảo, vùng có điều kiện kinh tế - xã hội đặc biệt khó khăn theo quy định của Chính phủ và công tác trong các lĩnh vực: phong, lao, tâm thần, giải phẫu bệnh, pháp y, pháp y tâm thần, phòng chống dịch bệnh nguy hiểm, cấp cứu 115, hồi sức cấp cứu hoặc công tác trong các cơ sở giam giữ.</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Đồng thời, Nghị định số 25/2024/NĐ-CP cũng quy định cá nhân nêu trên phải có thành tích xuất sắc trong công tác y tế, đạt một trong các tiêu chuẩn sau:</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a) Đã được tặng Huân chương Lao động hoặc Huân chương Bảo vệ Tổ quốc từ hạng Ba trở lên;</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b) Đã được tặng ít nhất 01 Bằng khen của Thủ tướng Chính phủ;</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lastRenderedPageBreak/>
        <w:t>c) Đã được tặng ít nhất 03 Bằng khen cấp bộ, ban, ngành, tỉnh;</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d) Đã ít nhất 02 lần được tặng danh hiệu Chiến sỹ thi đua cấp bộ, tỉnh và ít nhất 01 lần được tặng Bằng khen cấp bộ, ban, ngành, tỉnh;</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đ) Đã ít nhất 06 lần được tặng danh hiệu Chiến sỹ thi đua cấp cơ sở và 02 lần được tặng Bằng khen cấp bộ, ban, ngành, tỉnh trở lên.</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Cá nhân là người đứng đầu, cấp phó của người đứng đầu được bổ nhiệm giữ chức vụ quản lý trên 36 tháng tính từ khi được bổ nhiệm đến thời điểm nộp hồ sơ, ngoài các tiêu chuẩn nêu trên nếu tham gia xét tặng danh hiệu "Thầy thuốc nhân dân", "Thầy thuốc ưu tú" thì tập thể do cá nhân quản lý phải đạt một trong các tiêu chuẩn sau:</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a) 03 năm liền kề năm đề nghị xét tặng được công nhận danh hiệu "Tập thể lao động tiên tiến" hoặc "Đơn vị tiên tiến", trong đó có 02 lần đạt danh hiệu "Tập thể lao động xuất sắc" hoặc "Đơn vị quyết thắng";</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b) Đã được tặng danh hiệu thi đua, hình thức khen thưởng từ cấp bộ, ban, ngành, tỉnh trở lên.</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Cũng theo Nghị định, cá nhân công tác ở địa bàn biên giới, trên biển, hải đảo, vùng có điều kiện kinh tế - xã hội đặc biệt khó khăn theo quy định của Chính phủ ngoài đạt các tiêu chí quy định tại các điểm a, b và c khoản 3 Điều 65 Luật Thi đua, khen thưởng phải đạt được các tiêu chuẩn sau: có ít nhất 05 năm tính đến thời điểm xét tặng được công nhận hoàn thành tốt nhiệm vụ trở lên, trong thời gian đó có từ 03 năm trở lên được công nhận hoàn thành xuất sắc nhiệm vụ và được tặng Bằng khen cấp bộ, ban, ngành, tỉnh ít nhất 01 lần.</w:t>
      </w:r>
    </w:p>
    <w:p w:rsidR="00FC7E5F" w:rsidRPr="00053162" w:rsidRDefault="00FC7E5F" w:rsidP="00E32E2D">
      <w:pPr>
        <w:shd w:val="clear" w:color="auto" w:fill="FFFFFF"/>
        <w:spacing w:after="0" w:line="450" w:lineRule="atLeast"/>
        <w:ind w:firstLine="720"/>
        <w:jc w:val="both"/>
        <w:outlineLvl w:val="2"/>
        <w:rPr>
          <w:rFonts w:ascii="NotoSerif" w:eastAsia="Times New Roman" w:hAnsi="NotoSerif" w:cs="Times New Roman"/>
          <w:b/>
          <w:bCs/>
          <w:color w:val="333333"/>
          <w:sz w:val="28"/>
          <w:szCs w:val="28"/>
        </w:rPr>
      </w:pPr>
      <w:r w:rsidRPr="00053162">
        <w:rPr>
          <w:rFonts w:ascii="NotoSerif" w:eastAsia="Times New Roman" w:hAnsi="NotoSerif" w:cs="Times New Roman"/>
          <w:b/>
          <w:bCs/>
          <w:color w:val="333333"/>
          <w:sz w:val="28"/>
          <w:szCs w:val="28"/>
        </w:rPr>
        <w:t>Thời hạn định kỳ chuyển đổi vị trí công tác trong ngành Y tế</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Bộ Y tế ban hành Thông tư 01/2024/TT-BYT về danh mục và thời hạn định kỳ chuyển đổi vị trí công tác với công chức không giữ chức vụ lãnh đạo, quản lý thuộc lĩnh vực y tế, có hiệu lực từ 15/4/2024.</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lastRenderedPageBreak/>
        <w:t xml:space="preserve">Theo đó, thời hạn định kỳ chuyển đổi vị trí công tác là từ đủ 02 - 05 năm </w:t>
      </w:r>
      <w:proofErr w:type="gramStart"/>
      <w:r w:rsidRPr="00053162">
        <w:rPr>
          <w:rFonts w:ascii="NotoSerif" w:eastAsia="Times New Roman" w:hAnsi="NotoSerif" w:cs="Times New Roman"/>
          <w:color w:val="333333"/>
          <w:sz w:val="28"/>
          <w:szCs w:val="28"/>
        </w:rPr>
        <w:t>theo</w:t>
      </w:r>
      <w:proofErr w:type="gramEnd"/>
      <w:r w:rsidRPr="00053162">
        <w:rPr>
          <w:rFonts w:ascii="NotoSerif" w:eastAsia="Times New Roman" w:hAnsi="NotoSerif" w:cs="Times New Roman"/>
          <w:color w:val="333333"/>
          <w:sz w:val="28"/>
          <w:szCs w:val="28"/>
        </w:rPr>
        <w:t xml:space="preserve"> đặc thù của từng vị trí công tác. </w:t>
      </w:r>
      <w:proofErr w:type="gramStart"/>
      <w:r w:rsidRPr="00053162">
        <w:rPr>
          <w:rFonts w:ascii="NotoSerif" w:eastAsia="Times New Roman" w:hAnsi="NotoSerif" w:cs="Times New Roman"/>
          <w:color w:val="333333"/>
          <w:sz w:val="28"/>
          <w:szCs w:val="28"/>
        </w:rPr>
        <w:t>Thời hạn này được tính từ ngày có quyết định/văn bản công tác đảm nhiệm vị trí.</w:t>
      </w:r>
      <w:proofErr w:type="gramEnd"/>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 xml:space="preserve">Trong đó, các danh mục vị trí công tác thuộc lĩnh vực y tế phải định kỳ chuyển đổi gồm những vị trí tiếp nhận hồ sơ, cấp mới, cấp lại, điều chỉnh, </w:t>
      </w:r>
      <w:proofErr w:type="gramStart"/>
      <w:r w:rsidRPr="00053162">
        <w:rPr>
          <w:rFonts w:ascii="NotoSerif" w:eastAsia="Times New Roman" w:hAnsi="NotoSerif" w:cs="Times New Roman"/>
          <w:color w:val="333333"/>
          <w:sz w:val="28"/>
          <w:szCs w:val="28"/>
        </w:rPr>
        <w:t>thu</w:t>
      </w:r>
      <w:proofErr w:type="gramEnd"/>
      <w:r w:rsidRPr="00053162">
        <w:rPr>
          <w:rFonts w:ascii="NotoSerif" w:eastAsia="Times New Roman" w:hAnsi="NotoSerif" w:cs="Times New Roman"/>
          <w:color w:val="333333"/>
          <w:sz w:val="28"/>
          <w:szCs w:val="28"/>
        </w:rPr>
        <w:t xml:space="preserve"> hồi, gia hạn, thay đổi… các lĩnh vực:</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Y tế dự phòng: Giấy phép nhập khẩu mẫu bệnh phẩm…</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Khám chữa bệnh: Giấy phép hành nghề/hoạt động khám chữa bệnh, giấy phép hoạt động khám chữa bệnh…</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Dược phẩm, mỹ phẩm, y dược cổ truyền: Giấy đăng ký lưu hành, chứng chỉ hành nghề dược…</w:t>
      </w:r>
    </w:p>
    <w:p w:rsidR="00FC7E5F" w:rsidRPr="00053162" w:rsidRDefault="00FC7E5F" w:rsidP="00E32E2D">
      <w:pPr>
        <w:shd w:val="clear" w:color="auto" w:fill="FFFFFF"/>
        <w:spacing w:after="0" w:line="450" w:lineRule="atLeast"/>
        <w:ind w:firstLine="720"/>
        <w:jc w:val="both"/>
        <w:outlineLvl w:val="3"/>
        <w:rPr>
          <w:rFonts w:ascii="NotoSerif" w:eastAsia="Times New Roman" w:hAnsi="NotoSerif" w:cs="Times New Roman"/>
          <w:b/>
          <w:bCs/>
          <w:color w:val="333333"/>
          <w:sz w:val="28"/>
          <w:szCs w:val="28"/>
        </w:rPr>
      </w:pPr>
      <w:r w:rsidRPr="00053162">
        <w:rPr>
          <w:rFonts w:ascii="NotoSerif" w:eastAsia="Times New Roman" w:hAnsi="NotoSerif" w:cs="Times New Roman"/>
          <w:b/>
          <w:bCs/>
          <w:color w:val="333333"/>
          <w:sz w:val="28"/>
          <w:szCs w:val="28"/>
        </w:rPr>
        <w:t>Danh sách chứng chỉ ngoại ngữ được sử dụng để miễn thi tốt nghiệp THPT năm 2024</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Từ 22/4/2024, Thông tư 02/2024/TT-BGDĐT của Bộ Giáo dục và Đào tạo về sửa đổi, bổ sung một số điều của Quy chế thi tốt nghiệp trung học phổ thông, chính thức có hiệu lực.</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Thông tư sửa đổi, bổ sung việc tổ chức thi 5 bài thi, gồm: 3 bài thi độc lập là Toán, Ngữ văn, Ngoại ngữ (Tiếng Anh, Tiếng Nga, Tiếng Pháp, Tiếng Trung Quốc, Tiếng Đức, Tiếng Nhật và Tiếng Hàn); 1 bài thi tổ hợp Khoa học Tự nhiên; 1 bài thi tổ hợp Khoa học Xã hội.</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Để xét công nhận tốt nghiệp THPT, thí sinh giáo dục THPT thuộc đối tượng quy định phải dự thi 4 bài thi, gồm 3 bài thi độc lập là Toán, Ngữ văn, Ngoại ngữ và 1 bài thi tổ hợp do thí sinh tự chọn.</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 xml:space="preserve">Thí sinh GDTX thuộc đối tượng quy định dự thi 3 bài thi, gồm 2 bài thi độc lập là Toán, Ngữ văn và 1 bài thi tổ hợp do thí sinh tự chọn. </w:t>
      </w:r>
      <w:proofErr w:type="gramStart"/>
      <w:r w:rsidRPr="00053162">
        <w:rPr>
          <w:rFonts w:ascii="NotoSerif" w:eastAsia="Times New Roman" w:hAnsi="NotoSerif" w:cs="Times New Roman"/>
          <w:color w:val="333333"/>
          <w:sz w:val="28"/>
          <w:szCs w:val="28"/>
        </w:rPr>
        <w:t>Thí sinh GDTX có thể đăng ký dự thi thêm bài thi Ngoại ngữ để lấy kết quả xét tuyển sinh.</w:t>
      </w:r>
      <w:proofErr w:type="gramEnd"/>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proofErr w:type="gramStart"/>
      <w:r w:rsidRPr="00053162">
        <w:rPr>
          <w:rFonts w:ascii="NotoSerif" w:eastAsia="Times New Roman" w:hAnsi="NotoSerif" w:cs="Times New Roman"/>
          <w:color w:val="333333"/>
          <w:sz w:val="28"/>
          <w:szCs w:val="28"/>
        </w:rPr>
        <w:t>Thí sinh được đăng ký dự thi môn Ngoại ngữ khác với môn Ngoại ngữ đang học tại trường phổ thông.</w:t>
      </w:r>
      <w:proofErr w:type="gramEnd"/>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lastRenderedPageBreak/>
        <w:t>Thông tư 02/2024/TT-BGDĐT cũng quy định danh mục chứng chỉ ngoại ngữ được sử dụng để miễn bài thi Ngoại ngữ trong xét công nhận tốt nghiệp THPT: TOEFL ITP 450 điểm; TOEFL iBT 45 điểm; TOEIC (4 kỹ năng Nghe: 275, Đọc: 275, Nói: 120, Viết: 120); IELTS 4.0 điểm; B1 Preliminary; B1 Business Preliminary; B1 Linguaskill; Chứng chỉ ngoại ngữ theo Khung năng lực ngoại ngữ 6 bậc dùng cho Việt Nam Bậc 3...</w:t>
      </w:r>
    </w:p>
    <w:p w:rsidR="00FC7E5F" w:rsidRPr="00053162" w:rsidRDefault="00FC7E5F" w:rsidP="00E32E2D">
      <w:pPr>
        <w:shd w:val="clear" w:color="auto" w:fill="FFFFFF"/>
        <w:spacing w:after="0" w:line="450" w:lineRule="atLeast"/>
        <w:ind w:firstLine="720"/>
        <w:jc w:val="both"/>
        <w:outlineLvl w:val="2"/>
        <w:rPr>
          <w:rFonts w:ascii="NotoSerif" w:eastAsia="Times New Roman" w:hAnsi="NotoSerif" w:cs="Times New Roman"/>
          <w:b/>
          <w:bCs/>
          <w:color w:val="333333"/>
          <w:sz w:val="28"/>
          <w:szCs w:val="28"/>
        </w:rPr>
      </w:pPr>
      <w:r w:rsidRPr="00053162">
        <w:rPr>
          <w:rFonts w:ascii="NotoSerif" w:eastAsia="Times New Roman" w:hAnsi="NotoSerif" w:cs="Times New Roman"/>
          <w:b/>
          <w:bCs/>
          <w:color w:val="333333"/>
          <w:sz w:val="28"/>
          <w:szCs w:val="28"/>
        </w:rPr>
        <w:t>Thủ tục hành chính được sửa đổi, bổ sung, bãi bỏ trong lĩnh vực đăng kiểm</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 xml:space="preserve">Bộ Giao thông vận tải (GTVT) đã ban hành Quyết định số 233/QĐ-BGTVT ngày 12/3/2024 công bố thủ tục hành chính được sửa đổi, bổ sung, bãi bỏ trong lĩnh vực đăng kiểm thuộc phạm </w:t>
      </w:r>
      <w:proofErr w:type="gramStart"/>
      <w:r w:rsidRPr="00053162">
        <w:rPr>
          <w:rFonts w:ascii="NotoSerif" w:eastAsia="Times New Roman" w:hAnsi="NotoSerif" w:cs="Times New Roman"/>
          <w:color w:val="333333"/>
          <w:sz w:val="28"/>
          <w:szCs w:val="28"/>
        </w:rPr>
        <w:t>vi</w:t>
      </w:r>
      <w:proofErr w:type="gramEnd"/>
      <w:r w:rsidRPr="00053162">
        <w:rPr>
          <w:rFonts w:ascii="NotoSerif" w:eastAsia="Times New Roman" w:hAnsi="NotoSerif" w:cs="Times New Roman"/>
          <w:color w:val="333333"/>
          <w:sz w:val="28"/>
          <w:szCs w:val="28"/>
        </w:rPr>
        <w:t xml:space="preserve"> chức năng quản lý của Bộ GTVT.</w:t>
      </w:r>
    </w:p>
    <w:p w:rsidR="00FC7E5F" w:rsidRPr="00053162" w:rsidRDefault="00FC7E5F" w:rsidP="00E32E2D">
      <w:pPr>
        <w:shd w:val="clear" w:color="auto" w:fill="FFFFFF"/>
        <w:spacing w:after="0" w:line="450" w:lineRule="atLeast"/>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Theo quyết định, thủ tục hành chính được sửa đổi, bổ sung, bãi bỏ trong lĩnh vực đăng kiểm thuộc phạm vi chức năng quản lý của Bộ GTVT, cụ thể có 2 thủ tục hành chính được sửa đổi, bổ sung gồm: Cấp Giấy chứng nhận quốc tế về an ninh tàu biển theo Bộ luật Quốc tế về an ninh tàu biển và cảng biển (Bộ luật ISPS) và Phê duyệt kế hoạch an ninh tàu biển theo Bộ luật Quốc tế về an ninh tàu biển và cảng biển (Bộ luật ISPS).</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r w:rsidRPr="00053162">
        <w:rPr>
          <w:rFonts w:ascii="NotoSerif" w:eastAsia="Times New Roman" w:hAnsi="NotoSerif" w:cs="Times New Roman"/>
          <w:color w:val="333333"/>
          <w:sz w:val="28"/>
          <w:szCs w:val="28"/>
        </w:rPr>
        <w:t>Thủ tục hành chính được bãi bỏ trong lĩnh vực đăng kiểm thuộc phạm vi chức năng quản lý của Bộ GTVT là Cấp Giấy chứng nhận huấn luyện nghiệp vụ sỹ quan an ninh tàu, cán bộ an ninh công ty, theo Thông tư số 03/2024/TTBGTVT ngày 21/2/2024 của Bộ trưởng Bộ GTVT đổi, bổ sung một số điều của Thông tư số 27/2011/TT-BGTVT ngày 14/4/2011 của Bộ trưởng Bộ GTVT quy định về Áp dụng sửa đổi, bổ sung năm 2002 của Công ước quốc tế về an toàn sinh mạng con người trên biển năm 1974, ban hành kèm theo Bộ luật quốc tế về an ninh tàu biển và cảng biển.</w:t>
      </w:r>
    </w:p>
    <w:p w:rsidR="00FC7E5F" w:rsidRPr="00053162" w:rsidRDefault="00FC7E5F" w:rsidP="00E32E2D">
      <w:pPr>
        <w:shd w:val="clear" w:color="auto" w:fill="FFFFFF"/>
        <w:spacing w:after="0" w:line="450" w:lineRule="atLeast"/>
        <w:ind w:firstLine="720"/>
        <w:jc w:val="both"/>
        <w:rPr>
          <w:rFonts w:ascii="NotoSerif" w:eastAsia="Times New Roman" w:hAnsi="NotoSerif" w:cs="Times New Roman"/>
          <w:color w:val="333333"/>
          <w:sz w:val="28"/>
          <w:szCs w:val="28"/>
        </w:rPr>
      </w:pPr>
      <w:proofErr w:type="gramStart"/>
      <w:r w:rsidRPr="00053162">
        <w:rPr>
          <w:rFonts w:ascii="NotoSerif" w:eastAsia="Times New Roman" w:hAnsi="NotoSerif" w:cs="Times New Roman"/>
          <w:color w:val="333333"/>
          <w:sz w:val="28"/>
          <w:szCs w:val="28"/>
        </w:rPr>
        <w:t>Quyết định có hiệu lực thi hành kể từ ngày 15/4/2024.</w:t>
      </w:r>
      <w:proofErr w:type="gramEnd"/>
    </w:p>
    <w:p w:rsidR="00254DE9" w:rsidRPr="005561AF" w:rsidRDefault="00254DE9" w:rsidP="00E32E2D">
      <w:pPr>
        <w:pStyle w:val="NormalWeb"/>
        <w:shd w:val="clear" w:color="auto" w:fill="FFFFFF"/>
        <w:spacing w:before="0" w:beforeAutospacing="0" w:after="0" w:afterAutospacing="0" w:line="288" w:lineRule="auto"/>
        <w:ind w:left="-420"/>
        <w:jc w:val="both"/>
        <w:rPr>
          <w:i/>
          <w:color w:val="000000"/>
          <w:sz w:val="28"/>
          <w:szCs w:val="28"/>
          <w:lang w:val="pl-PL"/>
        </w:rPr>
      </w:pPr>
      <w:r>
        <w:rPr>
          <w:color w:val="000000"/>
          <w:sz w:val="28"/>
          <w:szCs w:val="28"/>
          <w:lang w:val="pl-PL"/>
        </w:rPr>
        <w:t xml:space="preserve">                                                                   </w:t>
      </w:r>
      <w:r>
        <w:rPr>
          <w:i/>
          <w:color w:val="000000"/>
          <w:sz w:val="28"/>
          <w:szCs w:val="28"/>
          <w:lang w:val="pl-PL"/>
        </w:rPr>
        <w:t>Quang Vĩnh, ngày 16 tháng 04 năm 2024</w:t>
      </w:r>
    </w:p>
    <w:p w:rsidR="00254DE9" w:rsidRPr="00050C9E" w:rsidRDefault="00254DE9" w:rsidP="00E32E2D">
      <w:pPr>
        <w:pStyle w:val="NormalWeb"/>
        <w:shd w:val="clear" w:color="auto" w:fill="FFFFFF"/>
        <w:spacing w:before="0" w:beforeAutospacing="0" w:after="0" w:afterAutospacing="0" w:line="288" w:lineRule="auto"/>
        <w:ind w:left="-420"/>
        <w:jc w:val="both"/>
        <w:rPr>
          <w:b/>
          <w:color w:val="000000"/>
          <w:sz w:val="28"/>
          <w:szCs w:val="28"/>
          <w:lang w:val="pl-PL"/>
        </w:rPr>
      </w:pPr>
      <w:r w:rsidRPr="00050C9E">
        <w:rPr>
          <w:color w:val="000000"/>
          <w:sz w:val="28"/>
          <w:szCs w:val="28"/>
          <w:lang w:val="pl-PL"/>
        </w:rPr>
        <w:t xml:space="preserve">     </w:t>
      </w:r>
      <w:r>
        <w:rPr>
          <w:color w:val="000000"/>
          <w:sz w:val="28"/>
          <w:szCs w:val="28"/>
          <w:lang w:val="pl-PL"/>
        </w:rPr>
        <w:t xml:space="preserve">  </w:t>
      </w:r>
      <w:r w:rsidRPr="00050C9E">
        <w:rPr>
          <w:b/>
          <w:color w:val="000000"/>
          <w:sz w:val="28"/>
          <w:szCs w:val="28"/>
          <w:lang w:val="pl-PL"/>
        </w:rPr>
        <w:t>Phê duyệt nội dung                                              Biên soạn nội dung</w:t>
      </w:r>
    </w:p>
    <w:p w:rsidR="00254DE9" w:rsidRPr="00050C9E" w:rsidRDefault="00254DE9" w:rsidP="00E32E2D">
      <w:pPr>
        <w:spacing w:line="288" w:lineRule="auto"/>
        <w:ind w:left="-420"/>
        <w:jc w:val="both"/>
        <w:textAlignment w:val="top"/>
        <w:rPr>
          <w:rFonts w:ascii="Times New Roman" w:hAnsi="Times New Roman"/>
          <w:b/>
          <w:lang w:val="pl-PL"/>
        </w:rPr>
      </w:pPr>
      <w:r w:rsidRPr="00050C9E">
        <w:rPr>
          <w:rFonts w:ascii="Times New Roman" w:hAnsi="Times New Roman"/>
          <w:b/>
          <w:lang w:val="pl-PL"/>
        </w:rPr>
        <w:t xml:space="preserve">      CHỦ TỊCH HĐPHCTPBGDPL                                               </w:t>
      </w:r>
      <w:r>
        <w:rPr>
          <w:rFonts w:ascii="Times New Roman" w:hAnsi="Times New Roman"/>
          <w:b/>
          <w:lang w:val="pl-PL"/>
        </w:rPr>
        <w:t xml:space="preserve">   </w:t>
      </w:r>
      <w:r w:rsidRPr="00050C9E">
        <w:rPr>
          <w:rFonts w:ascii="Times New Roman" w:hAnsi="Times New Roman"/>
          <w:b/>
          <w:lang w:val="pl-PL"/>
        </w:rPr>
        <w:t xml:space="preserve"> </w:t>
      </w:r>
      <w:r w:rsidR="00563AAF">
        <w:rPr>
          <w:rFonts w:ascii="Times New Roman" w:hAnsi="Times New Roman"/>
          <w:b/>
          <w:lang w:val="pl-PL"/>
        </w:rPr>
        <w:t xml:space="preserve">CÔNG CHỨC </w:t>
      </w:r>
      <w:r w:rsidRPr="00050C9E">
        <w:rPr>
          <w:rFonts w:ascii="Times New Roman" w:hAnsi="Times New Roman"/>
          <w:b/>
          <w:lang w:val="pl-PL"/>
        </w:rPr>
        <w:t>TƯ PHÁP</w:t>
      </w:r>
    </w:p>
    <w:p w:rsidR="00254DE9" w:rsidRPr="00050C9E" w:rsidRDefault="00254DE9" w:rsidP="00E32E2D">
      <w:pPr>
        <w:spacing w:line="288" w:lineRule="auto"/>
        <w:ind w:left="-420"/>
        <w:jc w:val="both"/>
        <w:rPr>
          <w:rFonts w:ascii="Times New Roman" w:hAnsi="Times New Roman"/>
          <w:b/>
          <w:lang w:val="pl-PL"/>
        </w:rPr>
      </w:pPr>
      <w:bookmarkStart w:id="0" w:name="_GoBack"/>
      <w:bookmarkEnd w:id="0"/>
    </w:p>
    <w:p w:rsidR="00254DE9" w:rsidRPr="008F2B79" w:rsidRDefault="00254DE9" w:rsidP="00E32E2D">
      <w:pPr>
        <w:spacing w:line="288" w:lineRule="auto"/>
        <w:ind w:left="-420"/>
        <w:jc w:val="both"/>
        <w:rPr>
          <w:rFonts w:ascii="Times New Roman" w:hAnsi="Times New Roman"/>
          <w:b/>
          <w:sz w:val="28"/>
          <w:szCs w:val="28"/>
          <w:lang w:val="nb-NO"/>
        </w:rPr>
      </w:pPr>
      <w:r w:rsidRPr="00050C9E">
        <w:rPr>
          <w:rFonts w:ascii="Times New Roman" w:hAnsi="Times New Roman"/>
          <w:b/>
          <w:lang w:val="pl-PL"/>
        </w:rPr>
        <w:t xml:space="preserve">                                                                        </w:t>
      </w:r>
      <w:r w:rsidR="00563AAF">
        <w:rPr>
          <w:rFonts w:ascii="Times New Roman" w:hAnsi="Times New Roman"/>
          <w:b/>
          <w:lang w:val="pl-PL"/>
        </w:rPr>
        <w:t xml:space="preserve">                       </w:t>
      </w:r>
    </w:p>
    <w:p w:rsidR="00C652ED" w:rsidRPr="00053162" w:rsidRDefault="00C652ED" w:rsidP="00E32E2D">
      <w:pPr>
        <w:spacing w:after="0"/>
        <w:jc w:val="both"/>
        <w:rPr>
          <w:sz w:val="28"/>
          <w:szCs w:val="28"/>
        </w:rPr>
      </w:pPr>
    </w:p>
    <w:sectPr w:rsidR="00C652ED" w:rsidRPr="000531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C12" w:rsidRDefault="00002C12" w:rsidP="00053162">
      <w:pPr>
        <w:spacing w:after="0" w:line="240" w:lineRule="auto"/>
      </w:pPr>
      <w:r>
        <w:separator/>
      </w:r>
    </w:p>
  </w:endnote>
  <w:endnote w:type="continuationSeparator" w:id="0">
    <w:p w:rsidR="00002C12" w:rsidRDefault="00002C12" w:rsidP="00053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 w:name="NotoSerif">
    <w:altName w:val="Times New Roman"/>
    <w:panose1 w:val="00000000000000000000"/>
    <w:charset w:val="00"/>
    <w:family w:val="roman"/>
    <w:notTrueType/>
    <w:pitch w:val="default"/>
  </w:font>
  <w:font w:name="Inte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278380"/>
      <w:docPartObj>
        <w:docPartGallery w:val="Page Numbers (Bottom of Page)"/>
        <w:docPartUnique/>
      </w:docPartObj>
    </w:sdtPr>
    <w:sdtEndPr>
      <w:rPr>
        <w:noProof/>
      </w:rPr>
    </w:sdtEndPr>
    <w:sdtContent>
      <w:p w:rsidR="00053162" w:rsidRDefault="00053162">
        <w:pPr>
          <w:pStyle w:val="Footer"/>
          <w:jc w:val="center"/>
        </w:pPr>
        <w:r>
          <w:fldChar w:fldCharType="begin"/>
        </w:r>
        <w:r>
          <w:instrText xml:space="preserve"> PAGE   \* MERGEFORMAT </w:instrText>
        </w:r>
        <w:r>
          <w:fldChar w:fldCharType="separate"/>
        </w:r>
        <w:r w:rsidR="00E32E2D">
          <w:rPr>
            <w:noProof/>
          </w:rPr>
          <w:t>8</w:t>
        </w:r>
        <w:r>
          <w:rPr>
            <w:noProof/>
          </w:rPr>
          <w:fldChar w:fldCharType="end"/>
        </w:r>
      </w:p>
    </w:sdtContent>
  </w:sdt>
  <w:p w:rsidR="00053162" w:rsidRDefault="000531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C12" w:rsidRDefault="00002C12" w:rsidP="00053162">
      <w:pPr>
        <w:spacing w:after="0" w:line="240" w:lineRule="auto"/>
      </w:pPr>
      <w:r>
        <w:separator/>
      </w:r>
    </w:p>
  </w:footnote>
  <w:footnote w:type="continuationSeparator" w:id="0">
    <w:p w:rsidR="00002C12" w:rsidRDefault="00002C12" w:rsidP="00053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06C56"/>
    <w:multiLevelType w:val="multilevel"/>
    <w:tmpl w:val="DAD0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5F"/>
    <w:rsid w:val="00002C12"/>
    <w:rsid w:val="00053162"/>
    <w:rsid w:val="00254DE9"/>
    <w:rsid w:val="00563AAF"/>
    <w:rsid w:val="00C652ED"/>
    <w:rsid w:val="00E32E2D"/>
    <w:rsid w:val="00FC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7E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7E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C7E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E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7E5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C7E5F"/>
    <w:rPr>
      <w:rFonts w:ascii="Times New Roman" w:eastAsia="Times New Roman" w:hAnsi="Times New Roman" w:cs="Times New Roman"/>
      <w:b/>
      <w:bCs/>
      <w:sz w:val="27"/>
      <w:szCs w:val="27"/>
    </w:rPr>
  </w:style>
  <w:style w:type="paragraph" w:styleId="NormalWeb">
    <w:name w:val="Normal (Web)"/>
    <w:basedOn w:val="Normal"/>
    <w:link w:val="NormalWebChar"/>
    <w:unhideWhenUsed/>
    <w:rsid w:val="00FC7E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bwscwlrl-label">
    <w:name w:val="kbwscwlrl-label"/>
    <w:basedOn w:val="DefaultParagraphFont"/>
    <w:rsid w:val="00FC7E5F"/>
  </w:style>
  <w:style w:type="paragraph" w:styleId="BalloonText">
    <w:name w:val="Balloon Text"/>
    <w:basedOn w:val="Normal"/>
    <w:link w:val="BalloonTextChar"/>
    <w:uiPriority w:val="99"/>
    <w:semiHidden/>
    <w:unhideWhenUsed/>
    <w:rsid w:val="00FC7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E5F"/>
    <w:rPr>
      <w:rFonts w:ascii="Tahoma" w:hAnsi="Tahoma" w:cs="Tahoma"/>
      <w:sz w:val="16"/>
      <w:szCs w:val="16"/>
    </w:rPr>
  </w:style>
  <w:style w:type="paragraph" w:styleId="Header">
    <w:name w:val="header"/>
    <w:basedOn w:val="Normal"/>
    <w:link w:val="HeaderChar"/>
    <w:uiPriority w:val="99"/>
    <w:unhideWhenUsed/>
    <w:rsid w:val="00053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162"/>
  </w:style>
  <w:style w:type="paragraph" w:styleId="Footer">
    <w:name w:val="footer"/>
    <w:basedOn w:val="Normal"/>
    <w:link w:val="FooterChar"/>
    <w:uiPriority w:val="99"/>
    <w:unhideWhenUsed/>
    <w:rsid w:val="00053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162"/>
  </w:style>
  <w:style w:type="character" w:customStyle="1" w:styleId="NormalWebChar">
    <w:name w:val="Normal (Web) Char"/>
    <w:link w:val="NormalWeb"/>
    <w:locked/>
    <w:rsid w:val="00254DE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7E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7E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C7E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E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7E5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C7E5F"/>
    <w:rPr>
      <w:rFonts w:ascii="Times New Roman" w:eastAsia="Times New Roman" w:hAnsi="Times New Roman" w:cs="Times New Roman"/>
      <w:b/>
      <w:bCs/>
      <w:sz w:val="27"/>
      <w:szCs w:val="27"/>
    </w:rPr>
  </w:style>
  <w:style w:type="paragraph" w:styleId="NormalWeb">
    <w:name w:val="Normal (Web)"/>
    <w:basedOn w:val="Normal"/>
    <w:link w:val="NormalWebChar"/>
    <w:unhideWhenUsed/>
    <w:rsid w:val="00FC7E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bwscwlrl-label">
    <w:name w:val="kbwscwlrl-label"/>
    <w:basedOn w:val="DefaultParagraphFont"/>
    <w:rsid w:val="00FC7E5F"/>
  </w:style>
  <w:style w:type="paragraph" w:styleId="BalloonText">
    <w:name w:val="Balloon Text"/>
    <w:basedOn w:val="Normal"/>
    <w:link w:val="BalloonTextChar"/>
    <w:uiPriority w:val="99"/>
    <w:semiHidden/>
    <w:unhideWhenUsed/>
    <w:rsid w:val="00FC7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E5F"/>
    <w:rPr>
      <w:rFonts w:ascii="Tahoma" w:hAnsi="Tahoma" w:cs="Tahoma"/>
      <w:sz w:val="16"/>
      <w:szCs w:val="16"/>
    </w:rPr>
  </w:style>
  <w:style w:type="paragraph" w:styleId="Header">
    <w:name w:val="header"/>
    <w:basedOn w:val="Normal"/>
    <w:link w:val="HeaderChar"/>
    <w:uiPriority w:val="99"/>
    <w:unhideWhenUsed/>
    <w:rsid w:val="00053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162"/>
  </w:style>
  <w:style w:type="paragraph" w:styleId="Footer">
    <w:name w:val="footer"/>
    <w:basedOn w:val="Normal"/>
    <w:link w:val="FooterChar"/>
    <w:uiPriority w:val="99"/>
    <w:unhideWhenUsed/>
    <w:rsid w:val="00053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162"/>
  </w:style>
  <w:style w:type="character" w:customStyle="1" w:styleId="NormalWebChar">
    <w:name w:val="Normal (Web) Char"/>
    <w:link w:val="NormalWeb"/>
    <w:locked/>
    <w:rsid w:val="00254DE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961558">
      <w:bodyDiv w:val="1"/>
      <w:marLeft w:val="0"/>
      <w:marRight w:val="0"/>
      <w:marTop w:val="0"/>
      <w:marBottom w:val="0"/>
      <w:divBdr>
        <w:top w:val="none" w:sz="0" w:space="0" w:color="auto"/>
        <w:left w:val="none" w:sz="0" w:space="0" w:color="auto"/>
        <w:bottom w:val="none" w:sz="0" w:space="0" w:color="auto"/>
        <w:right w:val="none" w:sz="0" w:space="0" w:color="auto"/>
      </w:divBdr>
      <w:divsChild>
        <w:div w:id="711466388">
          <w:marLeft w:val="0"/>
          <w:marRight w:val="0"/>
          <w:marTop w:val="0"/>
          <w:marBottom w:val="450"/>
          <w:divBdr>
            <w:top w:val="single" w:sz="6" w:space="12" w:color="E6E6E6"/>
            <w:left w:val="none" w:sz="0" w:space="0" w:color="auto"/>
            <w:bottom w:val="none" w:sz="0" w:space="0" w:color="auto"/>
            <w:right w:val="none" w:sz="0" w:space="0" w:color="auto"/>
          </w:divBdr>
          <w:divsChild>
            <w:div w:id="131099423">
              <w:marLeft w:val="0"/>
              <w:marRight w:val="0"/>
              <w:marTop w:val="0"/>
              <w:marBottom w:val="0"/>
              <w:divBdr>
                <w:top w:val="none" w:sz="0" w:space="0" w:color="auto"/>
                <w:left w:val="none" w:sz="0" w:space="0" w:color="auto"/>
                <w:bottom w:val="none" w:sz="0" w:space="0" w:color="auto"/>
                <w:right w:val="none" w:sz="0" w:space="0" w:color="auto"/>
              </w:divBdr>
              <w:divsChild>
                <w:div w:id="5680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8942">
          <w:marLeft w:val="0"/>
          <w:marRight w:val="0"/>
          <w:marTop w:val="0"/>
          <w:marBottom w:val="0"/>
          <w:divBdr>
            <w:top w:val="none" w:sz="0" w:space="0" w:color="auto"/>
            <w:left w:val="none" w:sz="0" w:space="0" w:color="auto"/>
            <w:bottom w:val="none" w:sz="0" w:space="0" w:color="auto"/>
            <w:right w:val="none" w:sz="0" w:space="0" w:color="auto"/>
          </w:divBdr>
          <w:divsChild>
            <w:div w:id="882252436">
              <w:marLeft w:val="0"/>
              <w:marRight w:val="0"/>
              <w:marTop w:val="0"/>
              <w:marBottom w:val="0"/>
              <w:divBdr>
                <w:top w:val="none" w:sz="0" w:space="0" w:color="auto"/>
                <w:left w:val="none" w:sz="0" w:space="0" w:color="auto"/>
                <w:bottom w:val="none" w:sz="0" w:space="0" w:color="auto"/>
                <w:right w:val="none" w:sz="0" w:space="0" w:color="auto"/>
              </w:divBdr>
            </w:div>
            <w:div w:id="1424258477">
              <w:marLeft w:val="0"/>
              <w:marRight w:val="0"/>
              <w:marTop w:val="0"/>
              <w:marBottom w:val="225"/>
              <w:divBdr>
                <w:top w:val="single" w:sz="6" w:space="0" w:color="CCCCCC"/>
                <w:left w:val="single" w:sz="6" w:space="0" w:color="CCCCCC"/>
                <w:bottom w:val="single" w:sz="6" w:space="0" w:color="CCCCCC"/>
                <w:right w:val="single" w:sz="6" w:space="0" w:color="CCCCCC"/>
              </w:divBdr>
              <w:divsChild>
                <w:div w:id="4902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DCC74-7296-46B6-93E1-DE8171524AB8}"/>
</file>

<file path=customXml/itemProps2.xml><?xml version="1.0" encoding="utf-8"?>
<ds:datastoreItem xmlns:ds="http://schemas.openxmlformats.org/officeDocument/2006/customXml" ds:itemID="{CF3148DE-7112-4553-B144-35E877938336}"/>
</file>

<file path=customXml/itemProps3.xml><?xml version="1.0" encoding="utf-8"?>
<ds:datastoreItem xmlns:ds="http://schemas.openxmlformats.org/officeDocument/2006/customXml" ds:itemID="{F1605816-B017-46CF-9BE4-00952D2DD8AD}"/>
</file>

<file path=docProps/app.xml><?xml version="1.0" encoding="utf-8"?>
<Properties xmlns="http://schemas.openxmlformats.org/officeDocument/2006/extended-properties" xmlns:vt="http://schemas.openxmlformats.org/officeDocument/2006/docPropsVTypes">
  <Template>Normal</Template>
  <TotalTime>1</TotalTime>
  <Pages>8</Pages>
  <Words>1869</Words>
  <Characters>10656</Characters>
  <Application>Microsoft Office Word</Application>
  <DocSecurity>0</DocSecurity>
  <Lines>88</Lines>
  <Paragraphs>24</Paragraphs>
  <ScaleCrop>false</ScaleCrop>
  <Company>Microsoft</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2024-04-25T00:34:00Z</cp:lastPrinted>
  <dcterms:created xsi:type="dcterms:W3CDTF">2024-04-25T00:35:00Z</dcterms:created>
  <dcterms:modified xsi:type="dcterms:W3CDTF">2024-04-25T00:35:00Z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58200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